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64D" w:rsidRPr="0048464D" w:rsidRDefault="0048464D" w:rsidP="0048464D">
      <w:pPr>
        <w:pStyle w:val="Balk1"/>
        <w:jc w:val="center"/>
      </w:pPr>
      <w:r w:rsidRPr="0048464D">
        <w:t>Konsorsiyum Sözleşmesi</w:t>
      </w:r>
      <w:r>
        <w:rPr>
          <w:rStyle w:val="DipnotBavurusu"/>
        </w:rPr>
        <w:footnoteReference w:id="1"/>
      </w:r>
    </w:p>
    <w:p w:rsidR="0048464D" w:rsidRDefault="0048464D" w:rsidP="0048464D">
      <w:pPr>
        <w:pStyle w:val="Balk2"/>
        <w:spacing w:before="0" w:beforeAutospacing="0"/>
        <w:ind w:left="341"/>
        <w:jc w:val="both"/>
        <w:rPr>
          <w:rFonts w:cs="Times New Roman"/>
          <w:b w:val="0"/>
          <w:highlight w:val="yellow"/>
        </w:rPr>
      </w:pPr>
    </w:p>
    <w:p w:rsidR="0048464D" w:rsidRPr="0048464D" w:rsidRDefault="0048464D" w:rsidP="0048464D">
      <w:pPr>
        <w:pStyle w:val="Balk2"/>
        <w:numPr>
          <w:ilvl w:val="0"/>
          <w:numId w:val="1"/>
        </w:numPr>
        <w:spacing w:before="0" w:beforeAutospacing="0" w:after="240" w:line="360" w:lineRule="auto"/>
        <w:jc w:val="both"/>
        <w:rPr>
          <w:rFonts w:cs="Times New Roman"/>
          <w:b w:val="0"/>
        </w:rPr>
      </w:pPr>
      <w:r w:rsidRPr="0048464D">
        <w:rPr>
          <w:rFonts w:cs="Times New Roman"/>
          <w:b w:val="0"/>
        </w:rPr>
        <w:t>Sözleşmenin Tarafları: Sözleşmenin tarafları sözleşmede açıkça gösterilmelidir. Tarafların ticari unvanları, şirket şekli, şirket merkezinin bulunduğu yer ve bu şirketlerin faaliyet konuları sözleşmede bulunması gereken unsurlardır.</w:t>
      </w:r>
    </w:p>
    <w:p w:rsidR="0048464D" w:rsidRPr="0048464D" w:rsidRDefault="0048464D" w:rsidP="0048464D">
      <w:pPr>
        <w:pStyle w:val="Balk2"/>
        <w:numPr>
          <w:ilvl w:val="0"/>
          <w:numId w:val="1"/>
        </w:numPr>
        <w:spacing w:before="0" w:beforeAutospacing="0" w:after="240" w:line="360" w:lineRule="auto"/>
        <w:jc w:val="both"/>
        <w:rPr>
          <w:rFonts w:cs="Times New Roman"/>
          <w:b w:val="0"/>
        </w:rPr>
      </w:pPr>
      <w:r w:rsidRPr="0048464D">
        <w:rPr>
          <w:rFonts w:cs="Times New Roman"/>
          <w:b w:val="0"/>
        </w:rPr>
        <w:t>Koordinasyon: Konsorsiyum Beyanında “Koordinatör” olarak beyan edilmiş ortağın uygulama döneminde Ajans için temas noktası olacağı, uygulamada ortaya çıkan önemli hususları iş sahibine gecikmeksizin bildirme (ihbar) borcu altında olduğu ve benzeri bildirim ve taleplerin nasıl yürütüleceği açıklanmalıdır.</w:t>
      </w:r>
    </w:p>
    <w:p w:rsidR="0048464D" w:rsidRPr="0048464D" w:rsidRDefault="0048464D" w:rsidP="0048464D">
      <w:pPr>
        <w:pStyle w:val="Balk2"/>
        <w:numPr>
          <w:ilvl w:val="0"/>
          <w:numId w:val="1"/>
        </w:numPr>
        <w:spacing w:before="0" w:beforeAutospacing="0" w:after="240" w:line="360" w:lineRule="auto"/>
        <w:jc w:val="both"/>
        <w:rPr>
          <w:rFonts w:cs="Times New Roman"/>
          <w:b w:val="0"/>
        </w:rPr>
      </w:pPr>
      <w:r w:rsidRPr="0048464D">
        <w:rPr>
          <w:rFonts w:cs="Times New Roman"/>
          <w:b w:val="0"/>
        </w:rPr>
        <w:t>İş Bölümü: İşin hangi kısmını taahhüt ettikleri ve taahhüdün yerine getirilmesinde koordinatör ortak aracılığıyla aralarındaki koordinasyonu sağlayacakları açıklanmalıdır.</w:t>
      </w:r>
    </w:p>
    <w:p w:rsidR="0048464D" w:rsidRPr="0048464D" w:rsidRDefault="0048464D" w:rsidP="0048464D">
      <w:pPr>
        <w:pStyle w:val="Balk2"/>
        <w:numPr>
          <w:ilvl w:val="0"/>
          <w:numId w:val="1"/>
        </w:numPr>
        <w:spacing w:before="0" w:beforeAutospacing="0" w:after="240" w:line="360" w:lineRule="auto"/>
        <w:jc w:val="both"/>
        <w:rPr>
          <w:rFonts w:cs="Times New Roman"/>
          <w:b w:val="0"/>
        </w:rPr>
      </w:pPr>
      <w:r w:rsidRPr="0048464D">
        <w:rPr>
          <w:rFonts w:cs="Times New Roman"/>
          <w:b w:val="0"/>
        </w:rPr>
        <w:t xml:space="preserve">İş Programı: Konsorsiyumlar iş programlarını Konsorsiyum Sözleşmesi ile birlikte sunacaklardır. Sözleşmede işin her bir ortağa düşen kısmının yapılması hususunda bir yol haritası belirlemeli, bunu </w:t>
      </w:r>
      <w:proofErr w:type="spellStart"/>
      <w:r w:rsidRPr="0048464D">
        <w:rPr>
          <w:rFonts w:cs="Times New Roman"/>
          <w:b w:val="0"/>
        </w:rPr>
        <w:t>takvimlendirmelidir</w:t>
      </w:r>
      <w:proofErr w:type="spellEnd"/>
      <w:r w:rsidRPr="0048464D">
        <w:rPr>
          <w:rFonts w:cs="Times New Roman"/>
          <w:b w:val="0"/>
        </w:rPr>
        <w:t>.</w:t>
      </w:r>
    </w:p>
    <w:p w:rsidR="0048464D" w:rsidRPr="0048464D" w:rsidRDefault="0048464D" w:rsidP="0048464D">
      <w:pPr>
        <w:pStyle w:val="Balk2"/>
        <w:numPr>
          <w:ilvl w:val="0"/>
          <w:numId w:val="1"/>
        </w:numPr>
        <w:spacing w:before="0" w:beforeAutospacing="0" w:after="240" w:line="360" w:lineRule="auto"/>
        <w:jc w:val="both"/>
        <w:rPr>
          <w:rFonts w:cs="Times New Roman"/>
          <w:b w:val="0"/>
        </w:rPr>
      </w:pPr>
      <w:r w:rsidRPr="0048464D">
        <w:rPr>
          <w:rFonts w:cs="Times New Roman"/>
          <w:b w:val="0"/>
        </w:rPr>
        <w:t xml:space="preserve">Mali Konular: Konsorsiyum sözleşmesinde </w:t>
      </w:r>
      <w:proofErr w:type="gramStart"/>
      <w:r w:rsidRPr="0048464D">
        <w:rPr>
          <w:rFonts w:cs="Times New Roman"/>
          <w:b w:val="0"/>
        </w:rPr>
        <w:t>konsorsiyum</w:t>
      </w:r>
      <w:proofErr w:type="gramEnd"/>
      <w:r w:rsidRPr="0048464D">
        <w:rPr>
          <w:rFonts w:cs="Times New Roman"/>
          <w:b w:val="0"/>
        </w:rPr>
        <w:t xml:space="preserve"> ortakları arasındaki mali konular ihale dokümanlarındaki hükümlere uygun olarak ayrıntılı düzenlenmelidir. </w:t>
      </w:r>
    </w:p>
    <w:p w:rsidR="00DC62DE" w:rsidRDefault="0048464D" w:rsidP="0048464D">
      <w:pPr>
        <w:pStyle w:val="Balk2"/>
        <w:numPr>
          <w:ilvl w:val="0"/>
          <w:numId w:val="1"/>
        </w:numPr>
        <w:spacing w:before="0" w:beforeAutospacing="0" w:after="240" w:line="360" w:lineRule="auto"/>
        <w:jc w:val="both"/>
        <w:rPr>
          <w:rFonts w:cs="Times New Roman"/>
          <w:b w:val="0"/>
        </w:rPr>
      </w:pPr>
      <w:r w:rsidRPr="0048464D">
        <w:rPr>
          <w:rFonts w:cs="Times New Roman"/>
          <w:b w:val="0"/>
        </w:rPr>
        <w:t>Genel Rapor: Tüm etütler bittikten sonra beklenen Genel Sonuç Raporunun nihai ödeme için koşul olduğu dikkate alınarak, raporun nasıl hazırlanacağı açıklanmalıdır.</w:t>
      </w:r>
    </w:p>
    <w:p w:rsidR="0048464D" w:rsidRDefault="0048464D" w:rsidP="0048464D"/>
    <w:p w:rsidR="0048464D" w:rsidRPr="0048464D" w:rsidRDefault="0048464D" w:rsidP="0048464D"/>
    <w:tbl>
      <w:tblPr>
        <w:tblW w:w="5000" w:type="pct"/>
        <w:jc w:val="center"/>
        <w:tblCellMar>
          <w:left w:w="70" w:type="dxa"/>
          <w:right w:w="70" w:type="dxa"/>
        </w:tblCellMar>
        <w:tblLook w:val="0000" w:firstRow="0" w:lastRow="0" w:firstColumn="0" w:lastColumn="0" w:noHBand="0" w:noVBand="0"/>
      </w:tblPr>
      <w:tblGrid>
        <w:gridCol w:w="3020"/>
        <w:gridCol w:w="3019"/>
        <w:gridCol w:w="3017"/>
      </w:tblGrid>
      <w:tr w:rsidR="0048464D" w:rsidRPr="00493D2B" w:rsidTr="00176284">
        <w:trPr>
          <w:jc w:val="center"/>
        </w:trPr>
        <w:tc>
          <w:tcPr>
            <w:tcW w:w="1667" w:type="pct"/>
            <w:tcBorders>
              <w:top w:val="single" w:sz="6" w:space="0" w:color="FFFFFF"/>
              <w:left w:val="single" w:sz="6" w:space="0" w:color="FFFFFF"/>
              <w:bottom w:val="single" w:sz="6" w:space="0" w:color="FFFFFF"/>
              <w:right w:val="single" w:sz="6" w:space="0" w:color="FFFFFF"/>
            </w:tcBorders>
          </w:tcPr>
          <w:p w:rsidR="0048464D" w:rsidRPr="00493D2B" w:rsidRDefault="0048464D" w:rsidP="00176284">
            <w:pPr>
              <w:spacing w:before="0" w:beforeAutospacing="0"/>
              <w:jc w:val="center"/>
              <w:rPr>
                <w:rFonts w:ascii="Arial" w:hAnsi="Arial"/>
                <w:sz w:val="22"/>
                <w:szCs w:val="22"/>
                <w:lang w:eastAsia="en-US"/>
              </w:rPr>
            </w:pPr>
            <w:r w:rsidRPr="00493D2B">
              <w:rPr>
                <w:rFonts w:ascii="Arial" w:hAnsi="Arial"/>
                <w:sz w:val="22"/>
                <w:szCs w:val="22"/>
                <w:lang w:eastAsia="en-US"/>
              </w:rPr>
              <w:t>KOORDİNATÖR ORTAK</w:t>
            </w:r>
          </w:p>
        </w:tc>
        <w:tc>
          <w:tcPr>
            <w:tcW w:w="1667" w:type="pct"/>
            <w:tcBorders>
              <w:top w:val="single" w:sz="6" w:space="0" w:color="FFFFFF"/>
              <w:left w:val="single" w:sz="6" w:space="0" w:color="FFFFFF"/>
              <w:bottom w:val="single" w:sz="6" w:space="0" w:color="FFFFFF"/>
              <w:right w:val="single" w:sz="6" w:space="0" w:color="FFFFFF"/>
            </w:tcBorders>
          </w:tcPr>
          <w:p w:rsidR="0048464D" w:rsidRPr="00493D2B" w:rsidRDefault="0048464D" w:rsidP="00176284">
            <w:pPr>
              <w:spacing w:before="0" w:beforeAutospacing="0"/>
              <w:jc w:val="center"/>
              <w:rPr>
                <w:sz w:val="22"/>
                <w:szCs w:val="22"/>
                <w:lang w:eastAsia="en-US"/>
              </w:rPr>
            </w:pPr>
            <w:r w:rsidRPr="00493D2B">
              <w:rPr>
                <w:rFonts w:ascii="Arial" w:hAnsi="Arial"/>
                <w:sz w:val="22"/>
                <w:szCs w:val="22"/>
                <w:lang w:eastAsia="en-US"/>
              </w:rPr>
              <w:t>ÖZEL ORTAK</w:t>
            </w:r>
          </w:p>
        </w:tc>
        <w:tc>
          <w:tcPr>
            <w:tcW w:w="1667" w:type="pct"/>
            <w:tcBorders>
              <w:top w:val="single" w:sz="6" w:space="0" w:color="FFFFFF"/>
              <w:left w:val="single" w:sz="6" w:space="0" w:color="FFFFFF"/>
              <w:bottom w:val="single" w:sz="6" w:space="0" w:color="FFFFFF"/>
              <w:right w:val="single" w:sz="6" w:space="0" w:color="FFFFFF"/>
            </w:tcBorders>
          </w:tcPr>
          <w:p w:rsidR="0048464D" w:rsidRPr="00493D2B" w:rsidRDefault="0048464D" w:rsidP="00176284">
            <w:pPr>
              <w:spacing w:before="0" w:beforeAutospacing="0"/>
              <w:jc w:val="center"/>
              <w:rPr>
                <w:sz w:val="22"/>
                <w:szCs w:val="22"/>
                <w:lang w:eastAsia="en-US"/>
              </w:rPr>
            </w:pPr>
            <w:r w:rsidRPr="00493D2B">
              <w:rPr>
                <w:rFonts w:ascii="Arial" w:hAnsi="Arial"/>
                <w:sz w:val="22"/>
                <w:szCs w:val="22"/>
                <w:lang w:eastAsia="en-US"/>
              </w:rPr>
              <w:t>ÖZEL ORTAK</w:t>
            </w:r>
          </w:p>
        </w:tc>
      </w:tr>
      <w:tr w:rsidR="0048464D" w:rsidRPr="00493D2B" w:rsidTr="00176284">
        <w:trPr>
          <w:trHeight w:val="469"/>
          <w:jc w:val="center"/>
        </w:trPr>
        <w:tc>
          <w:tcPr>
            <w:tcW w:w="1667" w:type="pct"/>
            <w:tcBorders>
              <w:top w:val="single" w:sz="6" w:space="0" w:color="FFFFFF"/>
              <w:left w:val="single" w:sz="6" w:space="0" w:color="FFFFFF"/>
              <w:bottom w:val="single" w:sz="6" w:space="0" w:color="FFFFFF"/>
              <w:right w:val="single" w:sz="6" w:space="0" w:color="FFFFFF"/>
            </w:tcBorders>
          </w:tcPr>
          <w:p w:rsidR="0048464D" w:rsidRPr="00493D2B" w:rsidRDefault="0048464D" w:rsidP="00176284">
            <w:pPr>
              <w:spacing w:before="0" w:beforeAutospacing="0"/>
              <w:jc w:val="center"/>
              <w:rPr>
                <w:rFonts w:ascii="Arial" w:hAnsi="Arial"/>
                <w:sz w:val="22"/>
                <w:szCs w:val="22"/>
                <w:lang w:eastAsia="en-US"/>
              </w:rPr>
            </w:pPr>
          </w:p>
          <w:p w:rsidR="0048464D" w:rsidRPr="00493D2B" w:rsidRDefault="0048464D" w:rsidP="00176284">
            <w:pPr>
              <w:spacing w:before="0" w:beforeAutospacing="0"/>
              <w:jc w:val="center"/>
              <w:rPr>
                <w:rFonts w:ascii="Arial" w:hAnsi="Arial"/>
                <w:sz w:val="22"/>
                <w:szCs w:val="22"/>
                <w:lang w:eastAsia="en-US"/>
              </w:rPr>
            </w:pPr>
          </w:p>
          <w:p w:rsidR="0048464D" w:rsidRPr="00493D2B" w:rsidRDefault="0048464D" w:rsidP="00176284">
            <w:pPr>
              <w:spacing w:before="0" w:beforeAutospacing="0"/>
              <w:jc w:val="center"/>
              <w:rPr>
                <w:rFonts w:ascii="Arial" w:hAnsi="Arial"/>
                <w:sz w:val="22"/>
                <w:szCs w:val="22"/>
                <w:lang w:eastAsia="en-US"/>
              </w:rPr>
            </w:pPr>
          </w:p>
          <w:p w:rsidR="0048464D" w:rsidRPr="00493D2B" w:rsidRDefault="0048464D" w:rsidP="00176284">
            <w:pPr>
              <w:spacing w:before="0" w:beforeAutospacing="0"/>
              <w:jc w:val="center"/>
              <w:rPr>
                <w:rFonts w:ascii="Arial" w:hAnsi="Arial"/>
                <w:sz w:val="22"/>
                <w:szCs w:val="22"/>
                <w:lang w:eastAsia="en-US"/>
              </w:rPr>
            </w:pPr>
            <w:r w:rsidRPr="00493D2B">
              <w:rPr>
                <w:rFonts w:ascii="Arial" w:hAnsi="Arial"/>
                <w:sz w:val="22"/>
                <w:szCs w:val="22"/>
                <w:lang w:eastAsia="en-US"/>
              </w:rPr>
              <w:t>İmza</w:t>
            </w:r>
          </w:p>
        </w:tc>
        <w:tc>
          <w:tcPr>
            <w:tcW w:w="1667" w:type="pct"/>
            <w:tcBorders>
              <w:top w:val="single" w:sz="6" w:space="0" w:color="FFFFFF"/>
              <w:left w:val="single" w:sz="6" w:space="0" w:color="FFFFFF"/>
              <w:bottom w:val="single" w:sz="6" w:space="0" w:color="FFFFFF"/>
              <w:right w:val="single" w:sz="6" w:space="0" w:color="FFFFFF"/>
            </w:tcBorders>
          </w:tcPr>
          <w:p w:rsidR="0048464D" w:rsidRPr="00493D2B" w:rsidRDefault="0048464D" w:rsidP="00176284">
            <w:pPr>
              <w:spacing w:before="0" w:beforeAutospacing="0"/>
              <w:jc w:val="center"/>
              <w:rPr>
                <w:rFonts w:ascii="Arial" w:hAnsi="Arial"/>
                <w:sz w:val="22"/>
                <w:szCs w:val="22"/>
                <w:lang w:eastAsia="en-US"/>
              </w:rPr>
            </w:pPr>
          </w:p>
          <w:p w:rsidR="0048464D" w:rsidRPr="00493D2B" w:rsidRDefault="0048464D" w:rsidP="00176284">
            <w:pPr>
              <w:spacing w:before="0" w:beforeAutospacing="0"/>
              <w:jc w:val="center"/>
              <w:rPr>
                <w:rFonts w:ascii="Arial" w:hAnsi="Arial"/>
                <w:sz w:val="22"/>
                <w:szCs w:val="22"/>
                <w:lang w:eastAsia="en-US"/>
              </w:rPr>
            </w:pPr>
          </w:p>
          <w:p w:rsidR="0048464D" w:rsidRPr="00493D2B" w:rsidRDefault="0048464D" w:rsidP="00176284">
            <w:pPr>
              <w:spacing w:before="0" w:beforeAutospacing="0"/>
              <w:jc w:val="center"/>
              <w:rPr>
                <w:rFonts w:ascii="Arial" w:hAnsi="Arial"/>
                <w:sz w:val="22"/>
                <w:szCs w:val="22"/>
                <w:lang w:eastAsia="en-US"/>
              </w:rPr>
            </w:pPr>
          </w:p>
          <w:p w:rsidR="0048464D" w:rsidRPr="00493D2B" w:rsidRDefault="0048464D" w:rsidP="00176284">
            <w:pPr>
              <w:spacing w:before="0" w:beforeAutospacing="0"/>
              <w:jc w:val="center"/>
              <w:rPr>
                <w:sz w:val="22"/>
                <w:szCs w:val="22"/>
                <w:lang w:eastAsia="en-US"/>
              </w:rPr>
            </w:pPr>
            <w:r w:rsidRPr="00493D2B">
              <w:rPr>
                <w:rFonts w:ascii="Arial" w:hAnsi="Arial"/>
                <w:sz w:val="22"/>
                <w:szCs w:val="22"/>
                <w:lang w:eastAsia="en-US"/>
              </w:rPr>
              <w:t>İmza</w:t>
            </w:r>
          </w:p>
        </w:tc>
        <w:tc>
          <w:tcPr>
            <w:tcW w:w="1667" w:type="pct"/>
            <w:tcBorders>
              <w:top w:val="single" w:sz="6" w:space="0" w:color="FFFFFF"/>
              <w:left w:val="single" w:sz="6" w:space="0" w:color="FFFFFF"/>
              <w:bottom w:val="single" w:sz="6" w:space="0" w:color="FFFFFF"/>
              <w:right w:val="single" w:sz="6" w:space="0" w:color="FFFFFF"/>
            </w:tcBorders>
          </w:tcPr>
          <w:p w:rsidR="0048464D" w:rsidRPr="00493D2B" w:rsidRDefault="0048464D" w:rsidP="00176284">
            <w:pPr>
              <w:spacing w:before="0" w:beforeAutospacing="0"/>
              <w:jc w:val="center"/>
              <w:rPr>
                <w:rFonts w:ascii="Arial" w:hAnsi="Arial"/>
                <w:sz w:val="22"/>
                <w:szCs w:val="22"/>
                <w:lang w:eastAsia="en-US"/>
              </w:rPr>
            </w:pPr>
          </w:p>
          <w:p w:rsidR="0048464D" w:rsidRDefault="0048464D" w:rsidP="00176284">
            <w:pPr>
              <w:spacing w:before="0" w:beforeAutospacing="0"/>
              <w:jc w:val="center"/>
              <w:rPr>
                <w:rFonts w:ascii="Arial" w:hAnsi="Arial"/>
                <w:sz w:val="22"/>
                <w:szCs w:val="22"/>
                <w:lang w:eastAsia="en-US"/>
              </w:rPr>
            </w:pPr>
          </w:p>
          <w:p w:rsidR="0048464D" w:rsidRPr="00493D2B" w:rsidRDefault="0048464D" w:rsidP="00176284">
            <w:pPr>
              <w:spacing w:before="0" w:beforeAutospacing="0"/>
              <w:jc w:val="center"/>
              <w:rPr>
                <w:rFonts w:ascii="Arial" w:hAnsi="Arial"/>
                <w:sz w:val="22"/>
                <w:szCs w:val="22"/>
                <w:lang w:eastAsia="en-US"/>
              </w:rPr>
            </w:pPr>
          </w:p>
          <w:p w:rsidR="0048464D" w:rsidRPr="00493D2B" w:rsidRDefault="0048464D" w:rsidP="00176284">
            <w:pPr>
              <w:spacing w:before="0" w:beforeAutospacing="0"/>
              <w:jc w:val="center"/>
              <w:rPr>
                <w:sz w:val="22"/>
                <w:szCs w:val="22"/>
                <w:lang w:eastAsia="en-US"/>
              </w:rPr>
            </w:pPr>
            <w:r w:rsidRPr="00493D2B">
              <w:rPr>
                <w:rFonts w:ascii="Arial" w:hAnsi="Arial"/>
                <w:sz w:val="22"/>
                <w:szCs w:val="22"/>
                <w:lang w:eastAsia="en-US"/>
              </w:rPr>
              <w:t>İmza</w:t>
            </w:r>
          </w:p>
        </w:tc>
      </w:tr>
    </w:tbl>
    <w:p w:rsidR="0048464D" w:rsidRPr="0048464D" w:rsidRDefault="0048464D" w:rsidP="0048464D">
      <w:bookmarkStart w:id="0" w:name="_GoBack"/>
      <w:bookmarkEnd w:id="0"/>
    </w:p>
    <w:sectPr w:rsidR="0048464D" w:rsidRPr="004846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C79" w:rsidRDefault="004D2C79" w:rsidP="0048464D">
      <w:pPr>
        <w:spacing w:before="0"/>
      </w:pPr>
      <w:r>
        <w:separator/>
      </w:r>
    </w:p>
  </w:endnote>
  <w:endnote w:type="continuationSeparator" w:id="0">
    <w:p w:rsidR="004D2C79" w:rsidRDefault="004D2C79" w:rsidP="0048464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C79" w:rsidRDefault="004D2C79" w:rsidP="0048464D">
      <w:pPr>
        <w:spacing w:before="0"/>
      </w:pPr>
      <w:r>
        <w:separator/>
      </w:r>
    </w:p>
  </w:footnote>
  <w:footnote w:type="continuationSeparator" w:id="0">
    <w:p w:rsidR="004D2C79" w:rsidRDefault="004D2C79" w:rsidP="0048464D">
      <w:pPr>
        <w:spacing w:before="0"/>
      </w:pPr>
      <w:r>
        <w:continuationSeparator/>
      </w:r>
    </w:p>
  </w:footnote>
  <w:footnote w:id="1">
    <w:p w:rsidR="0048464D" w:rsidRDefault="0048464D">
      <w:pPr>
        <w:pStyle w:val="DipnotMetni"/>
      </w:pPr>
      <w:r>
        <w:rPr>
          <w:rStyle w:val="DipnotBavurusu"/>
        </w:rPr>
        <w:footnoteRef/>
      </w:r>
      <w:r>
        <w:t xml:space="preserve"> İhalede başarılı olan </w:t>
      </w:r>
      <w:proofErr w:type="gramStart"/>
      <w:r>
        <w:t>konsorsiyumun</w:t>
      </w:r>
      <w:proofErr w:type="gramEnd"/>
      <w:r>
        <w:t xml:space="preserve"> Ajans ile sözleşme imzalarken vereceği bu sözleşme hükümleri ASGARİ olarak buradaki maddeleri kapsamalıdır.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963726"/>
    <w:multiLevelType w:val="multilevel"/>
    <w:tmpl w:val="E64EC220"/>
    <w:lvl w:ilvl="0">
      <w:start w:val="1"/>
      <w:numFmt w:val="decimal"/>
      <w:lvlText w:val="Madde %1."/>
      <w:lvlJc w:val="left"/>
      <w:pPr>
        <w:ind w:left="170" w:hanging="113"/>
      </w:pPr>
      <w:rPr>
        <w:rFonts w:ascii="Times New Roman" w:hAnsi="Times New Roman" w:hint="default"/>
        <w:b/>
        <w:i w:val="0"/>
        <w:sz w:val="24"/>
      </w:rPr>
    </w:lvl>
    <w:lvl w:ilvl="1">
      <w:start w:val="1"/>
      <w:numFmt w:val="decimal"/>
      <w:lvlText w:val="%1.%2."/>
      <w:lvlJc w:val="left"/>
      <w:pPr>
        <w:tabs>
          <w:tab w:val="num" w:pos="454"/>
        </w:tabs>
        <w:ind w:left="454" w:hanging="113"/>
      </w:pPr>
      <w:rPr>
        <w:rFonts w:ascii="Times New Roman" w:hAnsi="Times New Roman" w:hint="default"/>
        <w:b/>
        <w:i w:val="0"/>
        <w:sz w:val="24"/>
      </w:rPr>
    </w:lvl>
    <w:lvl w:ilvl="2">
      <w:start w:val="1"/>
      <w:numFmt w:val="lowerLetter"/>
      <w:lvlText w:val="%3."/>
      <w:lvlJc w:val="left"/>
      <w:pPr>
        <w:tabs>
          <w:tab w:val="num" w:pos="738"/>
        </w:tabs>
        <w:ind w:left="907" w:hanging="282"/>
      </w:pPr>
      <w:rPr>
        <w:rFonts w:ascii="Times New Roman" w:hAnsi="Times New Roman" w:hint="default"/>
        <w:b w:val="0"/>
        <w:i w:val="0"/>
        <w:sz w:val="24"/>
      </w:rPr>
    </w:lvl>
    <w:lvl w:ilvl="3">
      <w:start w:val="1"/>
      <w:numFmt w:val="decimal"/>
      <w:lvlText w:val="%4)"/>
      <w:lvlJc w:val="left"/>
      <w:pPr>
        <w:tabs>
          <w:tab w:val="num" w:pos="1022"/>
        </w:tabs>
        <w:ind w:left="1022" w:hanging="113"/>
      </w:pPr>
      <w:rPr>
        <w:rFonts w:ascii="Times New Roman" w:hAnsi="Times New Roman" w:hint="default"/>
        <w:b w:val="0"/>
        <w:i w:val="0"/>
        <w:sz w:val="24"/>
      </w:rPr>
    </w:lvl>
    <w:lvl w:ilvl="4">
      <w:start w:val="1"/>
      <w:numFmt w:val="lowerLetter"/>
      <w:lvlText w:val="(%5)"/>
      <w:lvlJc w:val="left"/>
      <w:pPr>
        <w:tabs>
          <w:tab w:val="num" w:pos="1306"/>
        </w:tabs>
        <w:ind w:left="1306" w:hanging="113"/>
      </w:pPr>
      <w:rPr>
        <w:rFonts w:hint="default"/>
      </w:rPr>
    </w:lvl>
    <w:lvl w:ilvl="5">
      <w:start w:val="1"/>
      <w:numFmt w:val="lowerRoman"/>
      <w:lvlText w:val="(%6)"/>
      <w:lvlJc w:val="left"/>
      <w:pPr>
        <w:tabs>
          <w:tab w:val="num" w:pos="1590"/>
        </w:tabs>
        <w:ind w:left="1590" w:hanging="113"/>
      </w:pPr>
      <w:rPr>
        <w:rFonts w:hint="default"/>
      </w:rPr>
    </w:lvl>
    <w:lvl w:ilvl="6">
      <w:start w:val="1"/>
      <w:numFmt w:val="decimal"/>
      <w:lvlText w:val="%7."/>
      <w:lvlJc w:val="left"/>
      <w:pPr>
        <w:tabs>
          <w:tab w:val="num" w:pos="1874"/>
        </w:tabs>
        <w:ind w:left="1874" w:hanging="113"/>
      </w:pPr>
      <w:rPr>
        <w:rFonts w:hint="default"/>
      </w:rPr>
    </w:lvl>
    <w:lvl w:ilvl="7">
      <w:start w:val="1"/>
      <w:numFmt w:val="lowerLetter"/>
      <w:lvlText w:val="%8."/>
      <w:lvlJc w:val="left"/>
      <w:pPr>
        <w:tabs>
          <w:tab w:val="num" w:pos="2158"/>
        </w:tabs>
        <w:ind w:left="2158" w:hanging="113"/>
      </w:pPr>
      <w:rPr>
        <w:rFonts w:hint="default"/>
      </w:rPr>
    </w:lvl>
    <w:lvl w:ilvl="8">
      <w:start w:val="1"/>
      <w:numFmt w:val="lowerRoman"/>
      <w:lvlText w:val="%9."/>
      <w:lvlJc w:val="left"/>
      <w:pPr>
        <w:tabs>
          <w:tab w:val="num" w:pos="2442"/>
        </w:tabs>
        <w:ind w:left="2442" w:hanging="11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273"/>
    <w:rsid w:val="0048464D"/>
    <w:rsid w:val="004D2C79"/>
    <w:rsid w:val="00947273"/>
    <w:rsid w:val="00DC62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A2F93"/>
  <w15:chartTrackingRefBased/>
  <w15:docId w15:val="{685AEDCC-280E-454F-AE93-15681F25B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64D"/>
    <w:pPr>
      <w:overflowPunct w:val="0"/>
      <w:autoSpaceDE w:val="0"/>
      <w:autoSpaceDN w:val="0"/>
      <w:adjustRightInd w:val="0"/>
      <w:spacing w:before="100" w:beforeAutospacing="1"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48464D"/>
    <w:pPr>
      <w:keepNext/>
      <w:jc w:val="both"/>
      <w:outlineLvl w:val="0"/>
    </w:pPr>
    <w:rPr>
      <w:b/>
    </w:rPr>
  </w:style>
  <w:style w:type="paragraph" w:styleId="Balk2">
    <w:name w:val="heading 2"/>
    <w:basedOn w:val="Normal"/>
    <w:next w:val="Normal"/>
    <w:link w:val="Balk2Char"/>
    <w:unhideWhenUsed/>
    <w:qFormat/>
    <w:rsid w:val="0048464D"/>
    <w:pPr>
      <w:keepNext/>
      <w:keepLines/>
      <w:spacing w:before="200"/>
      <w:outlineLvl w:val="1"/>
    </w:pPr>
    <w:rPr>
      <w:rFonts w:eastAsiaTheme="majorEastAsia" w:cstheme="majorBidi"/>
      <w:b/>
      <w:bCs/>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48464D"/>
    <w:rPr>
      <w:rFonts w:ascii="Times New Roman" w:eastAsiaTheme="majorEastAsia" w:hAnsi="Times New Roman" w:cstheme="majorBidi"/>
      <w:b/>
      <w:bCs/>
      <w:sz w:val="24"/>
      <w:szCs w:val="26"/>
      <w:lang w:eastAsia="tr-TR"/>
    </w:rPr>
  </w:style>
  <w:style w:type="character" w:customStyle="1" w:styleId="Balk1Char">
    <w:name w:val="Başlık 1 Char"/>
    <w:basedOn w:val="VarsaylanParagrafYazTipi"/>
    <w:link w:val="Balk1"/>
    <w:rsid w:val="0048464D"/>
    <w:rPr>
      <w:rFonts w:ascii="Times New Roman" w:eastAsia="Times New Roman" w:hAnsi="Times New Roman" w:cs="Times New Roman"/>
      <w:b/>
      <w:sz w:val="24"/>
      <w:szCs w:val="20"/>
      <w:lang w:eastAsia="tr-TR"/>
    </w:rPr>
  </w:style>
  <w:style w:type="paragraph" w:styleId="DipnotMetni">
    <w:name w:val="footnote text"/>
    <w:basedOn w:val="Normal"/>
    <w:link w:val="DipnotMetniChar"/>
    <w:uiPriority w:val="99"/>
    <w:semiHidden/>
    <w:unhideWhenUsed/>
    <w:rsid w:val="0048464D"/>
    <w:pPr>
      <w:spacing w:before="0"/>
    </w:pPr>
    <w:rPr>
      <w:sz w:val="20"/>
    </w:rPr>
  </w:style>
  <w:style w:type="character" w:customStyle="1" w:styleId="DipnotMetniChar">
    <w:name w:val="Dipnot Metni Char"/>
    <w:basedOn w:val="VarsaylanParagrafYazTipi"/>
    <w:link w:val="DipnotMetni"/>
    <w:uiPriority w:val="99"/>
    <w:semiHidden/>
    <w:rsid w:val="0048464D"/>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semiHidden/>
    <w:unhideWhenUsed/>
    <w:rsid w:val="004846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7DA4D-7FEB-4F9C-93E5-860A7A1AA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201</Words>
  <Characters>1146</Characters>
  <Application>Microsoft Office Word</Application>
  <DocSecurity>0</DocSecurity>
  <Lines>9</Lines>
  <Paragraphs>2</Paragraphs>
  <ScaleCrop>false</ScaleCrop>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dc:creator>
  <cp:keywords/>
  <dc:description/>
  <cp:lastModifiedBy>Burak</cp:lastModifiedBy>
  <cp:revision>2</cp:revision>
  <dcterms:created xsi:type="dcterms:W3CDTF">2022-02-10T12:23:00Z</dcterms:created>
  <dcterms:modified xsi:type="dcterms:W3CDTF">2022-02-10T12:32:00Z</dcterms:modified>
</cp:coreProperties>
</file>